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0F0234">
        <w:rPr>
          <w:rFonts w:ascii="Arial" w:eastAsia="Times New Roman" w:hAnsi="Arial" w:cs="Arial"/>
          <w:b/>
          <w:bCs/>
          <w:color w:val="000000"/>
        </w:rPr>
        <w:t>11</w:t>
      </w:r>
      <w:r w:rsidR="000F0234" w:rsidRPr="000F0234">
        <w:rPr>
          <w:rFonts w:ascii="Arial" w:eastAsia="Times New Roman" w:hAnsi="Arial" w:cs="Arial"/>
          <w:b/>
          <w:bCs/>
          <w:color w:val="000000"/>
          <w:vertAlign w:val="superscript"/>
        </w:rPr>
        <w:t>th</w:t>
      </w:r>
      <w:r w:rsidR="000F0234">
        <w:rPr>
          <w:rFonts w:ascii="Arial" w:eastAsia="Times New Roman" w:hAnsi="Arial" w:cs="Arial"/>
          <w:b/>
          <w:bCs/>
          <w:color w:val="000000"/>
        </w:rPr>
        <w:t xml:space="preserve"> March</w:t>
      </w:r>
      <w:r w:rsidR="00B20B2A">
        <w:rPr>
          <w:rFonts w:ascii="Arial" w:eastAsia="Times New Roman" w:hAnsi="Arial" w:cs="Arial"/>
          <w:b/>
          <w:bCs/>
          <w:color w:val="000000"/>
        </w:rPr>
        <w:t xml:space="preserve"> 2019</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7619DB49" wp14:editId="58FE74B5">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3EA67A9B" wp14:editId="13BA72E3">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0F0234"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24D7E36A" wp14:editId="093C1125">
                  <wp:extent cx="76200" cy="12192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0F0234"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5CCEDD87" wp14:editId="07157676">
                  <wp:extent cx="76200" cy="121920"/>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r>
      <w:tr w:rsidR="00222641" w:rsidTr="00E061C6">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E061C6" w:rsidP="00A931CA">
            <w:pPr>
              <w:rPr>
                <w:rFonts w:ascii="Arial" w:eastAsia="Times New Roman" w:hAnsi="Arial" w:cs="Arial"/>
              </w:rPr>
            </w:pPr>
            <w:r>
              <w:rPr>
                <w:rFonts w:ascii="Arial" w:eastAsia="Times New Roman" w:hAnsi="Arial" w:cs="Arial"/>
              </w:rPr>
              <w:t>Brenda Potter (Patient)</w:t>
            </w:r>
          </w:p>
        </w:tc>
        <w:tc>
          <w:tcPr>
            <w:tcW w:w="1322" w:type="dxa"/>
            <w:tcBorders>
              <w:top w:val="single" w:sz="4" w:space="0" w:color="auto"/>
              <w:left w:val="single" w:sz="4" w:space="0" w:color="auto"/>
              <w:bottom w:val="single" w:sz="4" w:space="0" w:color="auto"/>
              <w:right w:val="single" w:sz="4" w:space="0" w:color="auto"/>
            </w:tcBorders>
          </w:tcPr>
          <w:p w:rsidR="00222641" w:rsidRDefault="00E061C6" w:rsidP="00A931CA">
            <w:pPr>
              <w:jc w:val="center"/>
              <w:rPr>
                <w:rFonts w:ascii="Arial" w:eastAsia="Times New Roman" w:hAnsi="Arial" w:cs="Arial"/>
              </w:rPr>
            </w:pPr>
            <w:r>
              <w:rPr>
                <w:rFonts w:ascii="Arial" w:eastAsia="Times New Roman" w:hAnsi="Arial" w:cs="Arial"/>
              </w:rPr>
              <w:t>BP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0F0234"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4A3105FA" wp14:editId="55BF2DB9">
                  <wp:extent cx="76200" cy="12192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B20B2A" w:rsidP="0048149B">
            <w:pPr>
              <w:jc w:val="center"/>
              <w:rPr>
                <w:rFonts w:ascii="Arial" w:eastAsia="Times New Roman" w:hAnsi="Arial" w:cs="Arial"/>
              </w:rPr>
            </w:pPr>
            <w:r>
              <w:rPr>
                <w:rFonts w:ascii="Arial" w:eastAsia="Times New Roman" w:hAnsi="Arial" w:cs="Arial"/>
                <w:noProof/>
                <w:lang w:eastAsia="en-GB"/>
              </w:rPr>
              <w:drawing>
                <wp:inline distT="0" distB="0" distL="0" distR="0" wp14:anchorId="67B07A9D" wp14:editId="785CD7E3">
                  <wp:extent cx="76200" cy="12192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Zena-Marie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0F0234"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2EA14C6C" wp14:editId="7CFDA9CA">
                  <wp:extent cx="76200" cy="12192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Lara Akpojiyovwi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2E52B834" wp14:editId="36716607">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804497" w:rsidP="00A931CA">
            <w:pPr>
              <w:rPr>
                <w:rFonts w:ascii="Arial" w:eastAsia="Times New Roman" w:hAnsi="Arial" w:cs="Arial"/>
              </w:rPr>
            </w:pPr>
            <w:r>
              <w:rPr>
                <w:rFonts w:ascii="Arial" w:eastAsia="Times New Roman" w:hAnsi="Arial" w:cs="Arial"/>
              </w:rPr>
              <w:t>Judith Bryan</w:t>
            </w:r>
            <w:r w:rsidR="00E32370">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804497"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sidR="00804497">
              <w:rPr>
                <w:rFonts w:ascii="Arial" w:eastAsia="Times New Roman" w:hAnsi="Arial" w:cs="Arial"/>
                <w:noProof/>
                <w:lang w:eastAsia="en-GB"/>
              </w:rPr>
              <w:drawing>
                <wp:inline distT="0" distB="0" distL="0" distR="0" wp14:anchorId="55D7B7B5" wp14:editId="4FAF720B">
                  <wp:extent cx="76200" cy="121920"/>
                  <wp:effectExtent l="0" t="0" r="0" b="0"/>
                  <wp:docPr id="26" name="Picture 2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E00C9C">
            <w:pPr>
              <w:rPr>
                <w:rFonts w:ascii="Arial" w:eastAsia="Times New Roman" w:hAnsi="Arial" w:cs="Arial"/>
              </w:rPr>
            </w:pPr>
            <w:r>
              <w:rPr>
                <w:rFonts w:ascii="Arial" w:eastAsia="Times New Roman" w:hAnsi="Arial" w:cs="Arial"/>
              </w:rPr>
              <w:t>Nicola Clark (Patient</w:t>
            </w:r>
            <w:r w:rsidR="00222641">
              <w:rPr>
                <w:rFonts w:ascii="Arial" w:eastAsia="Times New Roman" w:hAnsi="Arial" w:cs="Arial"/>
              </w:rPr>
              <w: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804497">
            <w:pPr>
              <w:jc w:val="center"/>
              <w:rPr>
                <w:rFonts w:ascii="Arial" w:eastAsia="Times New Roman" w:hAnsi="Arial" w:cs="Arial"/>
              </w:rPr>
            </w:pPr>
            <w:r>
              <w:rPr>
                <w:rFonts w:ascii="Arial" w:eastAsia="Times New Roman" w:hAnsi="Arial" w:cs="Arial"/>
              </w:rPr>
              <w:t>NC</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804497"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5CE765D6" wp14:editId="343AAE7D">
                  <wp:extent cx="76200" cy="121920"/>
                  <wp:effectExtent l="0" t="0" r="0" b="0"/>
                  <wp:docPr id="27" name="Picture 2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A931CA">
            <w:pPr>
              <w:rPr>
                <w:rFonts w:ascii="Arial" w:eastAsia="Times New Roman" w:hAnsi="Arial" w:cs="Arial"/>
              </w:rPr>
            </w:pPr>
            <w:r>
              <w:rPr>
                <w:rFonts w:ascii="Arial" w:eastAsia="Times New Roman" w:hAnsi="Arial" w:cs="Arial"/>
              </w:rPr>
              <w:t>Kenneth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A931CA">
            <w:pPr>
              <w:jc w:val="center"/>
              <w:rPr>
                <w:rFonts w:ascii="Arial" w:eastAsia="Times New Roman" w:hAnsi="Arial" w:cs="Arial"/>
              </w:rPr>
            </w:pPr>
            <w:r>
              <w:rPr>
                <w:rFonts w:ascii="Arial" w:eastAsia="Times New Roman" w:hAnsi="Arial" w:cs="Arial"/>
              </w:rPr>
              <w:t>KS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628DC7B6" wp14:editId="7433713F">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DA4167" w:rsidP="00A931CA">
            <w:pPr>
              <w:rPr>
                <w:rFonts w:ascii="Arial" w:eastAsia="Times New Roman" w:hAnsi="Arial" w:cs="Arial"/>
              </w:rPr>
            </w:pPr>
            <w:r>
              <w:rPr>
                <w:rFonts w:ascii="Arial" w:eastAsia="Times New Roman" w:hAnsi="Arial" w:cs="Arial"/>
              </w:rPr>
              <w:t>David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DA4167" w:rsidP="00A931CA">
            <w:pPr>
              <w:jc w:val="center"/>
              <w:rPr>
                <w:rFonts w:ascii="Arial" w:eastAsia="Times New Roman" w:hAnsi="Arial" w:cs="Arial"/>
              </w:rPr>
            </w:pPr>
            <w:r>
              <w:rPr>
                <w:rFonts w:ascii="Arial" w:eastAsia="Times New Roman" w:hAnsi="Arial" w:cs="Arial"/>
              </w:rPr>
              <w:t>DS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7F23E758" wp14:editId="1F6F236A">
                  <wp:extent cx="76200" cy="121920"/>
                  <wp:effectExtent l="0" t="0" r="0" b="0"/>
                  <wp:docPr id="19" name="Picture 1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804497"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5CED4383" wp14:editId="1543E996">
                  <wp:extent cx="76200" cy="121920"/>
                  <wp:effectExtent l="0" t="0" r="0" b="0"/>
                  <wp:docPr id="29" name="Picture 2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7A31F9" w:rsidTr="007A31F9">
        <w:trPr>
          <w:trHeight w:val="262"/>
        </w:trPr>
        <w:tc>
          <w:tcPr>
            <w:tcW w:w="4449" w:type="dxa"/>
            <w:tcBorders>
              <w:top w:val="single" w:sz="4" w:space="0" w:color="auto"/>
              <w:left w:val="single" w:sz="4" w:space="0" w:color="auto"/>
              <w:bottom w:val="single" w:sz="4" w:space="0" w:color="auto"/>
              <w:right w:val="single" w:sz="4" w:space="0" w:color="auto"/>
            </w:tcBorders>
          </w:tcPr>
          <w:p w:rsidR="007A31F9" w:rsidRDefault="007A31F9" w:rsidP="00CA0469">
            <w:pPr>
              <w:rPr>
                <w:rFonts w:ascii="Arial" w:eastAsia="Times New Roman" w:hAnsi="Arial" w:cs="Arial"/>
              </w:rPr>
            </w:pPr>
            <w:r>
              <w:rPr>
                <w:rFonts w:ascii="Arial" w:eastAsia="Times New Roman" w:hAnsi="Arial" w:cs="Arial"/>
              </w:rPr>
              <w:t>Joanna Clark (Patient)</w:t>
            </w:r>
          </w:p>
        </w:tc>
        <w:tc>
          <w:tcPr>
            <w:tcW w:w="1322" w:type="dxa"/>
            <w:tcBorders>
              <w:top w:val="single" w:sz="4" w:space="0" w:color="auto"/>
              <w:left w:val="single" w:sz="4" w:space="0" w:color="auto"/>
              <w:bottom w:val="single" w:sz="4" w:space="0" w:color="auto"/>
              <w:right w:val="single" w:sz="4" w:space="0" w:color="auto"/>
            </w:tcBorders>
          </w:tcPr>
          <w:p w:rsidR="007A31F9" w:rsidRDefault="007A31F9" w:rsidP="00CA0469">
            <w:pPr>
              <w:jc w:val="center"/>
              <w:rPr>
                <w:rFonts w:ascii="Arial" w:eastAsia="Times New Roman" w:hAnsi="Arial" w:cs="Arial"/>
              </w:rPr>
            </w:pPr>
            <w:r>
              <w:rPr>
                <w:rFonts w:ascii="Arial" w:eastAsia="Times New Roman" w:hAnsi="Arial" w:cs="Arial"/>
              </w:rPr>
              <w:t>JC</w:t>
            </w:r>
          </w:p>
        </w:tc>
        <w:tc>
          <w:tcPr>
            <w:tcW w:w="1454" w:type="dxa"/>
            <w:tcBorders>
              <w:top w:val="single" w:sz="4" w:space="0" w:color="auto"/>
              <w:left w:val="single" w:sz="4" w:space="0" w:color="auto"/>
              <w:bottom w:val="single" w:sz="4" w:space="0" w:color="auto"/>
              <w:right w:val="single" w:sz="4" w:space="0" w:color="auto"/>
            </w:tcBorders>
            <w:vAlign w:val="center"/>
          </w:tcPr>
          <w:p w:rsidR="007A31F9" w:rsidRDefault="007A31F9" w:rsidP="00CA0469">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7A31F9" w:rsidRDefault="007A31F9" w:rsidP="00CA0469">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3D448363" wp14:editId="087152DF">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7A31F9" w:rsidTr="00CA0469">
        <w:trPr>
          <w:trHeight w:val="262"/>
        </w:trPr>
        <w:tc>
          <w:tcPr>
            <w:tcW w:w="4449" w:type="dxa"/>
            <w:tcBorders>
              <w:top w:val="single" w:sz="4" w:space="0" w:color="auto"/>
              <w:left w:val="single" w:sz="4" w:space="0" w:color="auto"/>
              <w:bottom w:val="single" w:sz="4" w:space="0" w:color="auto"/>
              <w:right w:val="single" w:sz="4" w:space="0" w:color="auto"/>
            </w:tcBorders>
          </w:tcPr>
          <w:p w:rsidR="007A31F9" w:rsidRDefault="007A31F9" w:rsidP="00CA0469">
            <w:pPr>
              <w:rPr>
                <w:rFonts w:ascii="Arial" w:eastAsia="Times New Roman" w:hAnsi="Arial" w:cs="Arial"/>
              </w:rPr>
            </w:pPr>
            <w:r>
              <w:rPr>
                <w:rFonts w:ascii="Arial" w:eastAsia="Times New Roman" w:hAnsi="Arial" w:cs="Arial"/>
              </w:rPr>
              <w:t>James Legg (Patient)</w:t>
            </w:r>
          </w:p>
        </w:tc>
        <w:tc>
          <w:tcPr>
            <w:tcW w:w="1322" w:type="dxa"/>
            <w:tcBorders>
              <w:top w:val="single" w:sz="4" w:space="0" w:color="auto"/>
              <w:left w:val="single" w:sz="4" w:space="0" w:color="auto"/>
              <w:bottom w:val="single" w:sz="4" w:space="0" w:color="auto"/>
              <w:right w:val="single" w:sz="4" w:space="0" w:color="auto"/>
            </w:tcBorders>
          </w:tcPr>
          <w:p w:rsidR="007A31F9" w:rsidRDefault="007A31F9" w:rsidP="00CA0469">
            <w:pPr>
              <w:jc w:val="center"/>
              <w:rPr>
                <w:rFonts w:ascii="Arial" w:eastAsia="Times New Roman" w:hAnsi="Arial" w:cs="Arial"/>
              </w:rPr>
            </w:pPr>
            <w:r>
              <w:rPr>
                <w:rFonts w:ascii="Arial" w:eastAsia="Times New Roman" w:hAnsi="Arial" w:cs="Arial"/>
              </w:rPr>
              <w:t>JL</w:t>
            </w:r>
            <w:bookmarkStart w:id="0" w:name="_GoBack"/>
            <w:bookmarkEnd w:id="0"/>
          </w:p>
        </w:tc>
        <w:tc>
          <w:tcPr>
            <w:tcW w:w="1454" w:type="dxa"/>
            <w:tcBorders>
              <w:top w:val="single" w:sz="4" w:space="0" w:color="auto"/>
              <w:left w:val="single" w:sz="4" w:space="0" w:color="auto"/>
              <w:bottom w:val="single" w:sz="4" w:space="0" w:color="auto"/>
              <w:right w:val="single" w:sz="4" w:space="0" w:color="auto"/>
            </w:tcBorders>
            <w:vAlign w:val="center"/>
          </w:tcPr>
          <w:p w:rsidR="007A31F9" w:rsidRDefault="007A31F9" w:rsidP="00CA0469">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7A31F9" w:rsidRDefault="007A31F9" w:rsidP="00CA0469">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6FFE7EC8" wp14:editId="1152A649">
                  <wp:extent cx="76200" cy="12192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0F0234" w:rsidP="00A931CA">
            <w:pPr>
              <w:pStyle w:val="ListParagraph"/>
              <w:ind w:left="360"/>
              <w:rPr>
                <w:rFonts w:ascii="Arial" w:eastAsia="Times New Roman" w:hAnsi="Arial" w:cs="Arial"/>
                <w:b/>
                <w:bCs/>
              </w:rPr>
            </w:pPr>
            <w:r>
              <w:rPr>
                <w:rFonts w:ascii="Arial" w:eastAsia="Times New Roman" w:hAnsi="Arial" w:cs="Arial"/>
                <w:b/>
                <w:bCs/>
              </w:rPr>
              <w:t>Practice Merger</w:t>
            </w:r>
          </w:p>
          <w:p w:rsidR="00D75B1A" w:rsidRPr="004C212D" w:rsidRDefault="00B20B2A" w:rsidP="000F0234">
            <w:pPr>
              <w:pStyle w:val="ListParagraph"/>
              <w:numPr>
                <w:ilvl w:val="0"/>
                <w:numId w:val="2"/>
              </w:numPr>
              <w:rPr>
                <w:rFonts w:ascii="Arial" w:eastAsia="Times New Roman" w:hAnsi="Arial" w:cs="Arial"/>
                <w:bCs/>
              </w:rPr>
            </w:pPr>
            <w:r>
              <w:rPr>
                <w:rFonts w:ascii="Arial" w:eastAsia="Times New Roman" w:hAnsi="Arial" w:cs="Arial"/>
                <w:bCs/>
              </w:rPr>
              <w:t xml:space="preserve">GW </w:t>
            </w:r>
            <w:r w:rsidR="000F0234">
              <w:rPr>
                <w:rFonts w:ascii="Arial" w:eastAsia="Times New Roman" w:hAnsi="Arial" w:cs="Arial"/>
                <w:bCs/>
              </w:rPr>
              <w:t>informed the group that the practice merger with Borough Medical Centre is going ahead from the 1</w:t>
            </w:r>
            <w:r w:rsidR="000F0234" w:rsidRPr="000F0234">
              <w:rPr>
                <w:rFonts w:ascii="Arial" w:eastAsia="Times New Roman" w:hAnsi="Arial" w:cs="Arial"/>
                <w:bCs/>
                <w:vertAlign w:val="superscript"/>
              </w:rPr>
              <w:t>st</w:t>
            </w:r>
            <w:r w:rsidR="000F0234">
              <w:rPr>
                <w:rFonts w:ascii="Arial" w:eastAsia="Times New Roman" w:hAnsi="Arial" w:cs="Arial"/>
                <w:bCs/>
              </w:rPr>
              <w:t xml:space="preserve"> April 2019. Most of the group had received a letter from Southwark CCG informing them about the merger. The practices are merging to ensure continuity of care for all patients of the 3 surgeries and the long term sustainability of Blackfriars and Borough Medical Practices. The medical computer system databases need to be merged so that we can access all 3 surgeries’ patient records at either site. As soon as we have a firm date for this we will let patients know via our practice website and publicity at the surgeries.</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b/>
              </w:rPr>
              <w:t xml:space="preserve">     </w:t>
            </w:r>
            <w:r w:rsidR="000F0234">
              <w:rPr>
                <w:rFonts w:ascii="Arial" w:eastAsia="Times New Roman" w:hAnsi="Arial" w:cs="Arial"/>
                <w:b/>
              </w:rPr>
              <w:t>Cervical Screening Campaign</w:t>
            </w:r>
          </w:p>
          <w:p w:rsidR="00B20B2A" w:rsidRPr="005D32B2" w:rsidRDefault="000F0234" w:rsidP="000F0234">
            <w:pPr>
              <w:pStyle w:val="ListParagraph"/>
              <w:numPr>
                <w:ilvl w:val="0"/>
                <w:numId w:val="1"/>
              </w:numPr>
              <w:rPr>
                <w:rFonts w:ascii="Arial" w:eastAsia="Times New Roman" w:hAnsi="Arial" w:cs="Arial"/>
              </w:rPr>
            </w:pPr>
            <w:r>
              <w:rPr>
                <w:rFonts w:ascii="Arial" w:eastAsia="Times New Roman" w:hAnsi="Arial" w:cs="Arial"/>
              </w:rPr>
              <w:t>GW told the group that from Tuesday 5</w:t>
            </w:r>
            <w:r w:rsidRPr="000F0234">
              <w:rPr>
                <w:rFonts w:ascii="Arial" w:eastAsia="Times New Roman" w:hAnsi="Arial" w:cs="Arial"/>
                <w:vertAlign w:val="superscript"/>
              </w:rPr>
              <w:t>th</w:t>
            </w:r>
            <w:r>
              <w:rPr>
                <w:rFonts w:ascii="Arial" w:eastAsia="Times New Roman" w:hAnsi="Arial" w:cs="Arial"/>
              </w:rPr>
              <w:t xml:space="preserve"> March </w:t>
            </w:r>
            <w:proofErr w:type="gramStart"/>
            <w:r>
              <w:rPr>
                <w:rFonts w:ascii="Arial" w:eastAsia="Times New Roman" w:hAnsi="Arial" w:cs="Arial"/>
              </w:rPr>
              <w:t>a new national campaign to encourage all eligible women to not ignore their cervical screening invite</w:t>
            </w:r>
            <w:proofErr w:type="gramEnd"/>
            <w:r>
              <w:rPr>
                <w:rFonts w:ascii="Arial" w:eastAsia="Times New Roman" w:hAnsi="Arial" w:cs="Arial"/>
              </w:rPr>
              <w:t xml:space="preserve"> or if they have missed their last cervical screening, to book an appointment with their GP practice. Two women die every day from cervical cancer. The number of eligible women attending their tests is a 20 year low and coverage is at its lowest amongst women aged 25-35. The practice is actively trying to encourage women to get their screening and campaign support materials are in the waiting room. BB and BP had seen the campaign adverts on TV.</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0F0234" w:rsidP="00A931CA">
            <w:pPr>
              <w:ind w:left="360"/>
              <w:contextualSpacing/>
              <w:rPr>
                <w:rFonts w:ascii="Arial" w:eastAsia="Times New Roman" w:hAnsi="Arial" w:cs="Arial"/>
                <w:b/>
                <w:bCs/>
              </w:rPr>
            </w:pPr>
            <w:r>
              <w:rPr>
                <w:rFonts w:ascii="Arial" w:eastAsia="Times New Roman" w:hAnsi="Arial" w:cs="Arial"/>
                <w:b/>
                <w:bCs/>
              </w:rPr>
              <w:t>Southwark PPG Network – Using Social Media</w:t>
            </w:r>
          </w:p>
          <w:p w:rsidR="00F23373" w:rsidRPr="000F0234" w:rsidRDefault="000F0234" w:rsidP="000F0234">
            <w:pPr>
              <w:pStyle w:val="ListParagraph"/>
              <w:numPr>
                <w:ilvl w:val="0"/>
                <w:numId w:val="1"/>
              </w:numPr>
              <w:rPr>
                <w:rFonts w:ascii="Arial" w:eastAsia="Times New Roman" w:hAnsi="Arial" w:cs="Arial"/>
                <w:bCs/>
              </w:rPr>
            </w:pPr>
            <w:r w:rsidRPr="000F0234">
              <w:rPr>
                <w:rFonts w:ascii="Arial" w:eastAsia="Times New Roman" w:hAnsi="Arial" w:cs="Arial"/>
                <w:bCs/>
              </w:rPr>
              <w:t xml:space="preserve">GW discussed with the group the possibility of using social media in the form of </w:t>
            </w:r>
            <w:proofErr w:type="spellStart"/>
            <w:r w:rsidRPr="000F0234">
              <w:rPr>
                <w:rFonts w:ascii="Arial" w:eastAsia="Times New Roman" w:hAnsi="Arial" w:cs="Arial"/>
                <w:bCs/>
              </w:rPr>
              <w:t>facebook</w:t>
            </w:r>
            <w:proofErr w:type="spellEnd"/>
            <w:r w:rsidRPr="000F0234">
              <w:rPr>
                <w:rFonts w:ascii="Arial" w:eastAsia="Times New Roman" w:hAnsi="Arial" w:cs="Arial"/>
                <w:bCs/>
              </w:rPr>
              <w:t xml:space="preserve"> or twitter to complement other traditional methods of engaging with patients and PPGs. </w:t>
            </w:r>
          </w:p>
          <w:p w:rsidR="000F0234" w:rsidRPr="000F0234" w:rsidRDefault="000F0234" w:rsidP="000F0234">
            <w:pPr>
              <w:pStyle w:val="ListParagraph"/>
              <w:numPr>
                <w:ilvl w:val="0"/>
                <w:numId w:val="1"/>
              </w:numPr>
              <w:rPr>
                <w:rFonts w:ascii="Arial" w:eastAsia="Times New Roman" w:hAnsi="Arial" w:cs="Arial"/>
                <w:bCs/>
              </w:rPr>
            </w:pPr>
            <w:r>
              <w:rPr>
                <w:rFonts w:ascii="Arial" w:eastAsia="Times New Roman" w:hAnsi="Arial" w:cs="Arial"/>
                <w:bCs/>
              </w:rPr>
              <w:t>On the 6</w:t>
            </w:r>
            <w:r w:rsidRPr="000F0234">
              <w:rPr>
                <w:rFonts w:ascii="Arial" w:eastAsia="Times New Roman" w:hAnsi="Arial" w:cs="Arial"/>
                <w:bCs/>
                <w:vertAlign w:val="superscript"/>
              </w:rPr>
              <w:t>th</w:t>
            </w:r>
            <w:r>
              <w:rPr>
                <w:rFonts w:ascii="Arial" w:eastAsia="Times New Roman" w:hAnsi="Arial" w:cs="Arial"/>
                <w:bCs/>
              </w:rPr>
              <w:t xml:space="preserve"> May 2019 Southwark residents will be able to access some GP services through the NHS App. It is an app available to download onto your smartphone and will allow anyone to check their symptoms via the 111 online symptom checker feature.</w:t>
            </w:r>
          </w:p>
        </w:tc>
      </w:tr>
      <w:tr w:rsidR="000C783E" w:rsidTr="001B62FE">
        <w:tc>
          <w:tcPr>
            <w:tcW w:w="571"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Arial" w:eastAsia="Times New Roman" w:hAnsi="Arial" w:cs="Arial"/>
                <w:b/>
                <w:bCs/>
              </w:rPr>
            </w:pPr>
            <w:r>
              <w:rPr>
                <w:rFonts w:ascii="Arial" w:eastAsia="Times New Roman" w:hAnsi="Arial" w:cs="Arial"/>
                <w:b/>
                <w:bCs/>
              </w:rPr>
              <w:t>7</w:t>
            </w: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A931CA">
            <w:pPr>
              <w:ind w:left="360"/>
              <w:contextualSpacing/>
              <w:rPr>
                <w:rFonts w:ascii="Arial" w:eastAsia="Times New Roman" w:hAnsi="Arial" w:cs="Arial"/>
                <w:b/>
              </w:rPr>
            </w:pPr>
            <w:r w:rsidRPr="000C783E">
              <w:rPr>
                <w:rFonts w:ascii="Arial" w:eastAsia="Times New Roman" w:hAnsi="Arial" w:cs="Arial"/>
                <w:b/>
              </w:rPr>
              <w:t>Commissioning Update</w:t>
            </w:r>
          </w:p>
          <w:p w:rsidR="00610FCD" w:rsidRPr="006805F5" w:rsidRDefault="00610FCD" w:rsidP="00610FCD">
            <w:pPr>
              <w:numPr>
                <w:ilvl w:val="0"/>
                <w:numId w:val="11"/>
              </w:numPr>
              <w:shd w:val="clear" w:color="auto" w:fill="FFFFFF"/>
              <w:autoSpaceDE w:val="0"/>
              <w:autoSpaceDN w:val="0"/>
              <w:adjustRightInd w:val="0"/>
              <w:jc w:val="both"/>
              <w:rPr>
                <w:rFonts w:ascii="Helvetica" w:eastAsia="Calibri" w:hAnsi="Helvetica" w:cs="Helvetica"/>
                <w:lang w:eastAsia="en-GB"/>
              </w:rPr>
            </w:pPr>
            <w:r w:rsidRPr="006805F5">
              <w:rPr>
                <w:rFonts w:ascii="Helvetica" w:eastAsia="Calibri" w:hAnsi="Helvetica" w:cs="Helvetica"/>
                <w:lang w:eastAsia="en-GB"/>
              </w:rPr>
              <w:t xml:space="preserve">Main topic was new NHS Long Term Plan which covers the next ten years for the NHS. </w:t>
            </w:r>
          </w:p>
          <w:p w:rsidR="00610FCD" w:rsidRPr="006805F5" w:rsidRDefault="00610FCD" w:rsidP="00610FCD">
            <w:pPr>
              <w:shd w:val="clear" w:color="auto" w:fill="FFFFFF"/>
              <w:autoSpaceDE w:val="0"/>
              <w:autoSpaceDN w:val="0"/>
              <w:adjustRightInd w:val="0"/>
              <w:ind w:left="1080"/>
              <w:jc w:val="both"/>
              <w:rPr>
                <w:rFonts w:ascii="Helvetica" w:eastAsia="Calibri" w:hAnsi="Helvetica" w:cs="Helvetica"/>
                <w:lang w:eastAsia="en-GB"/>
              </w:rPr>
            </w:pPr>
            <w:r w:rsidRPr="006805F5">
              <w:rPr>
                <w:rFonts w:ascii="Helvetica" w:eastAsia="Calibri" w:hAnsi="Helvetica" w:cs="Helvetica"/>
                <w:lang w:val="en-US" w:eastAsia="en-GB"/>
              </w:rPr>
              <w:lastRenderedPageBreak/>
              <w:t xml:space="preserve">Three key aims: </w:t>
            </w:r>
          </w:p>
          <w:p w:rsidR="00610FCD" w:rsidRPr="006805F5" w:rsidRDefault="00610FCD" w:rsidP="00610FCD">
            <w:pPr>
              <w:numPr>
                <w:ilvl w:val="1"/>
                <w:numId w:val="11"/>
              </w:numPr>
              <w:shd w:val="clear" w:color="auto" w:fill="FFFFFF"/>
              <w:autoSpaceDE w:val="0"/>
              <w:autoSpaceDN w:val="0"/>
              <w:adjustRightInd w:val="0"/>
              <w:jc w:val="both"/>
              <w:rPr>
                <w:rFonts w:ascii="Helvetica" w:eastAsia="Calibri" w:hAnsi="Helvetica" w:cs="Helvetica"/>
                <w:lang w:val="en-US" w:eastAsia="en-GB"/>
              </w:rPr>
            </w:pPr>
            <w:r w:rsidRPr="006805F5">
              <w:rPr>
                <w:rFonts w:ascii="Helvetica" w:eastAsia="Calibri" w:hAnsi="Helvetica" w:cs="Helvetica"/>
                <w:lang w:val="en-US" w:eastAsia="en-GB"/>
              </w:rPr>
              <w:t>Making sure everyone gets the best start in life</w:t>
            </w:r>
          </w:p>
          <w:p w:rsidR="00610FCD" w:rsidRPr="006805F5" w:rsidRDefault="00610FCD" w:rsidP="00610FCD">
            <w:pPr>
              <w:numPr>
                <w:ilvl w:val="1"/>
                <w:numId w:val="11"/>
              </w:numPr>
              <w:shd w:val="clear" w:color="auto" w:fill="FFFFFF"/>
              <w:autoSpaceDE w:val="0"/>
              <w:autoSpaceDN w:val="0"/>
              <w:adjustRightInd w:val="0"/>
              <w:jc w:val="both"/>
              <w:rPr>
                <w:rFonts w:ascii="Helvetica" w:eastAsia="Calibri" w:hAnsi="Helvetica" w:cs="Helvetica"/>
                <w:lang w:val="en-US" w:eastAsia="en-GB"/>
              </w:rPr>
            </w:pPr>
            <w:r w:rsidRPr="006805F5">
              <w:rPr>
                <w:rFonts w:ascii="Helvetica" w:eastAsia="Calibri" w:hAnsi="Helvetica" w:cs="Helvetica"/>
                <w:lang w:val="en-US" w:eastAsia="en-GB"/>
              </w:rPr>
              <w:t>Delivering world-class care for major health problems</w:t>
            </w:r>
          </w:p>
          <w:p w:rsidR="00610FCD" w:rsidRPr="006805F5" w:rsidRDefault="00610FCD" w:rsidP="00610FCD">
            <w:pPr>
              <w:numPr>
                <w:ilvl w:val="1"/>
                <w:numId w:val="11"/>
              </w:numPr>
              <w:shd w:val="clear" w:color="auto" w:fill="FFFFFF"/>
              <w:autoSpaceDE w:val="0"/>
              <w:autoSpaceDN w:val="0"/>
              <w:adjustRightInd w:val="0"/>
              <w:jc w:val="both"/>
              <w:rPr>
                <w:rFonts w:ascii="Helvetica" w:eastAsia="Calibri" w:hAnsi="Helvetica" w:cs="Helvetica"/>
                <w:lang w:val="en-US" w:eastAsia="en-GB"/>
              </w:rPr>
            </w:pPr>
            <w:r w:rsidRPr="006805F5">
              <w:rPr>
                <w:rFonts w:ascii="Helvetica" w:eastAsia="Calibri" w:hAnsi="Helvetica" w:cs="Helvetica"/>
                <w:lang w:val="en-US" w:eastAsia="en-GB"/>
              </w:rPr>
              <w:t>Supporting people to age well</w:t>
            </w:r>
          </w:p>
          <w:p w:rsidR="00610FCD" w:rsidRDefault="00610FCD" w:rsidP="00610FCD">
            <w:pPr>
              <w:numPr>
                <w:ilvl w:val="0"/>
                <w:numId w:val="11"/>
              </w:numPr>
              <w:shd w:val="clear" w:color="auto" w:fill="FFFFFF"/>
              <w:autoSpaceDE w:val="0"/>
              <w:autoSpaceDN w:val="0"/>
              <w:adjustRightInd w:val="0"/>
              <w:jc w:val="both"/>
              <w:rPr>
                <w:rFonts w:ascii="Helvetica" w:eastAsia="Calibri" w:hAnsi="Helvetica" w:cs="Helvetica"/>
                <w:lang w:eastAsia="en-GB"/>
              </w:rPr>
            </w:pPr>
            <w:r w:rsidRPr="00610FCD">
              <w:rPr>
                <w:rFonts w:ascii="Helvetica" w:eastAsia="Calibri" w:hAnsi="Helvetica" w:cs="Helvetica"/>
                <w:lang w:eastAsia="en-GB"/>
              </w:rPr>
              <w:t xml:space="preserve">The plan was discussed at greater depth at the February Council of Members </w:t>
            </w:r>
            <w:proofErr w:type="gramStart"/>
            <w:r w:rsidRPr="00610FCD">
              <w:rPr>
                <w:rFonts w:ascii="Helvetica" w:eastAsia="Calibri" w:hAnsi="Helvetica" w:cs="Helvetica"/>
                <w:lang w:eastAsia="en-GB"/>
              </w:rPr>
              <w:t>meeting  as</w:t>
            </w:r>
            <w:proofErr w:type="gramEnd"/>
            <w:r w:rsidRPr="00610FCD">
              <w:rPr>
                <w:rFonts w:ascii="Helvetica" w:eastAsia="Calibri" w:hAnsi="Helvetica" w:cs="Helvetica"/>
                <w:lang w:eastAsia="en-GB"/>
              </w:rPr>
              <w:t xml:space="preserve"> part of the CCG’s development of how it will deliver at a local level. </w:t>
            </w:r>
          </w:p>
          <w:p w:rsidR="00610FCD" w:rsidRPr="00610FCD" w:rsidRDefault="00610FCD" w:rsidP="00610FCD">
            <w:pPr>
              <w:numPr>
                <w:ilvl w:val="0"/>
                <w:numId w:val="11"/>
              </w:numPr>
              <w:shd w:val="clear" w:color="auto" w:fill="FFFFFF"/>
              <w:autoSpaceDE w:val="0"/>
              <w:autoSpaceDN w:val="0"/>
              <w:adjustRightInd w:val="0"/>
              <w:jc w:val="both"/>
              <w:rPr>
                <w:rFonts w:ascii="Helvetica" w:eastAsia="Calibri" w:hAnsi="Helvetica" w:cs="Helvetica"/>
                <w:lang w:eastAsia="en-GB"/>
              </w:rPr>
            </w:pPr>
            <w:r w:rsidRPr="00610FCD">
              <w:rPr>
                <w:rFonts w:ascii="Helvetica" w:eastAsia="Calibri" w:hAnsi="Helvetica" w:cs="Helvetica"/>
                <w:lang w:eastAsia="en-GB"/>
              </w:rPr>
              <w:t>One interesting point is the decommissioning of all fax machines by 2020 and increasing reliance/implementation of digital technologies to support healthcare.</w:t>
            </w:r>
          </w:p>
          <w:p w:rsidR="000C783E" w:rsidRPr="00610FCD" w:rsidRDefault="000C783E" w:rsidP="00610FCD">
            <w:pPr>
              <w:pStyle w:val="ListParagraph"/>
              <w:rPr>
                <w:rFonts w:ascii="Arial" w:eastAsia="Times New Roman" w:hAnsi="Arial" w:cs="Arial"/>
                <w:b/>
              </w:rPr>
            </w:pP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lastRenderedPageBreak/>
              <w:t>8</w:t>
            </w: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Bulletin</w:t>
            </w:r>
            <w:r w:rsidR="00B20B2A">
              <w:rPr>
                <w:rFonts w:ascii="Times New Roman" w:eastAsia="Times New Roman" w:hAnsi="Times New Roman" w:cs="Times New Roman"/>
                <w:sz w:val="24"/>
                <w:szCs w:val="24"/>
              </w:rPr>
              <w:t>/Virtual PPG Group</w:t>
            </w:r>
          </w:p>
          <w:p w:rsidR="000C783E" w:rsidRDefault="000C783E" w:rsidP="00A931CA">
            <w:pPr>
              <w:rPr>
                <w:rFonts w:ascii="Arial" w:eastAsia="Times New Roman" w:hAnsi="Arial" w:cs="Arial"/>
              </w:rPr>
            </w:pPr>
            <w:r>
              <w:rPr>
                <w:rFonts w:ascii="Arial" w:eastAsia="Times New Roman" w:hAnsi="Arial" w:cs="Arial"/>
              </w:rPr>
              <w:t xml:space="preserve">     </w:t>
            </w:r>
            <w:r w:rsidR="00B20B2A">
              <w:rPr>
                <w:rFonts w:ascii="Arial" w:eastAsia="Times New Roman" w:hAnsi="Arial" w:cs="Arial"/>
              </w:rPr>
              <w:t>T</w:t>
            </w:r>
            <w:r w:rsidRPr="00A858A3">
              <w:rPr>
                <w:rFonts w:ascii="Arial" w:eastAsia="Times New Roman" w:hAnsi="Arial" w:cs="Arial"/>
              </w:rPr>
              <w:t xml:space="preserve">he latest NAPP bulletin and was given to PPG members. </w:t>
            </w:r>
          </w:p>
          <w:p w:rsidR="000C783E" w:rsidRDefault="000C783E"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0C3167">
              <w:rPr>
                <w:rFonts w:ascii="Arial" w:eastAsia="Times New Roman" w:hAnsi="Arial" w:cs="Arial"/>
                <w:sz w:val="24"/>
                <w:szCs w:val="24"/>
              </w:rPr>
              <w:t>February</w:t>
            </w:r>
            <w:r>
              <w:rPr>
                <w:rFonts w:ascii="Arial" w:eastAsia="Times New Roman" w:hAnsi="Arial" w:cs="Arial"/>
                <w:sz w:val="24"/>
                <w:szCs w:val="24"/>
              </w:rPr>
              <w:t xml:space="preserve"> </w:t>
            </w:r>
            <w:r w:rsidRPr="00BB60C9">
              <w:rPr>
                <w:rFonts w:ascii="Arial" w:eastAsia="Times New Roman" w:hAnsi="Arial" w:cs="Arial"/>
                <w:sz w:val="24"/>
                <w:szCs w:val="24"/>
              </w:rPr>
              <w:t xml:space="preserve">was distributed to the group. All previous bulletins can </w:t>
            </w:r>
          </w:p>
          <w:p w:rsidR="000C783E" w:rsidRDefault="000C783E" w:rsidP="00A931CA">
            <w:pPr>
              <w:rPr>
                <w:rStyle w:val="Hyperlink"/>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8" w:tgtFrame="_blank" w:history="1">
              <w:r w:rsidRPr="00BB60C9">
                <w:rPr>
                  <w:rStyle w:val="Hyperlink"/>
                  <w:rFonts w:ascii="Arial" w:eastAsia="Times New Roman" w:hAnsi="Arial" w:cs="Arial"/>
                  <w:sz w:val="24"/>
                  <w:szCs w:val="24"/>
                </w:rPr>
                <w:t>http://www.napp.org.uk/latestebulletins.html</w:t>
              </w:r>
            </w:hyperlink>
          </w:p>
          <w:p w:rsidR="00B20B2A" w:rsidRPr="00B20B2A" w:rsidRDefault="00B20B2A" w:rsidP="00A931CA">
            <w:pPr>
              <w:rPr>
                <w:rStyle w:val="Hyperlink"/>
                <w:rFonts w:ascii="Arial" w:eastAsia="Times New Roman" w:hAnsi="Arial" w:cs="Arial"/>
                <w:color w:val="auto"/>
                <w:u w:val="none"/>
              </w:rPr>
            </w:pPr>
            <w:r>
              <w:rPr>
                <w:rStyle w:val="Hyperlink"/>
                <w:rFonts w:ascii="Arial" w:eastAsia="Times New Roman" w:hAnsi="Arial" w:cs="Arial"/>
                <w:color w:val="auto"/>
                <w:sz w:val="24"/>
                <w:szCs w:val="24"/>
                <w:u w:val="none"/>
              </w:rPr>
              <w:t xml:space="preserve">    </w:t>
            </w:r>
            <w:r w:rsidRPr="00B20B2A">
              <w:rPr>
                <w:rStyle w:val="Hyperlink"/>
                <w:rFonts w:ascii="Arial" w:eastAsia="Times New Roman" w:hAnsi="Arial" w:cs="Arial"/>
                <w:color w:val="auto"/>
                <w:sz w:val="24"/>
                <w:szCs w:val="24"/>
                <w:u w:val="none"/>
              </w:rPr>
              <w:t>RC is checking with NAPP</w:t>
            </w:r>
            <w:r>
              <w:rPr>
                <w:rStyle w:val="Hyperlink"/>
                <w:rFonts w:ascii="Arial" w:eastAsia="Times New Roman" w:hAnsi="Arial" w:cs="Arial"/>
                <w:color w:val="auto"/>
                <w:sz w:val="24"/>
                <w:szCs w:val="24"/>
                <w:u w:val="none"/>
              </w:rPr>
              <w:t xml:space="preserve"> on how to start</w:t>
            </w:r>
            <w:r w:rsidRPr="00B20B2A">
              <w:rPr>
                <w:rStyle w:val="Hyperlink"/>
                <w:rFonts w:ascii="Arial" w:eastAsia="Times New Roman" w:hAnsi="Arial" w:cs="Arial"/>
                <w:color w:val="auto"/>
                <w:sz w:val="24"/>
                <w:szCs w:val="24"/>
                <w:u w:val="none"/>
              </w:rPr>
              <w:t xml:space="preserve"> up a Blackfriars Virtual Group</w:t>
            </w:r>
            <w:r>
              <w:rPr>
                <w:rStyle w:val="Hyperlink"/>
                <w:rFonts w:ascii="Arial" w:eastAsia="Times New Roman" w:hAnsi="Arial" w:cs="Arial"/>
                <w:color w:val="auto"/>
                <w:sz w:val="24"/>
                <w:szCs w:val="24"/>
                <w:u w:val="none"/>
              </w:rPr>
              <w:t xml:space="preserve">. Would like      </w:t>
            </w:r>
          </w:p>
          <w:p w:rsidR="000C783E" w:rsidRPr="00B20B2A" w:rsidRDefault="00B20B2A" w:rsidP="00A931CA">
            <w:pPr>
              <w:ind w:left="360"/>
              <w:contextualSpacing/>
              <w:rPr>
                <w:rFonts w:ascii="Arial" w:eastAsia="Times New Roman" w:hAnsi="Arial" w:cs="Arial"/>
              </w:rPr>
            </w:pPr>
            <w:proofErr w:type="gramStart"/>
            <w:r>
              <w:rPr>
                <w:rFonts w:ascii="Arial" w:eastAsia="Times New Roman" w:hAnsi="Arial" w:cs="Arial"/>
              </w:rPr>
              <w:t>to</w:t>
            </w:r>
            <w:proofErr w:type="gramEnd"/>
            <w:r>
              <w:rPr>
                <w:rFonts w:ascii="Arial" w:eastAsia="Times New Roman" w:hAnsi="Arial" w:cs="Arial"/>
              </w:rPr>
              <w:t xml:space="preserve"> set up a questionnaire on </w:t>
            </w:r>
            <w:proofErr w:type="spellStart"/>
            <w:r>
              <w:rPr>
                <w:rFonts w:ascii="Arial" w:eastAsia="Times New Roman" w:hAnsi="Arial" w:cs="Arial"/>
              </w:rPr>
              <w:t>surveymonkey</w:t>
            </w:r>
            <w:proofErr w:type="spellEnd"/>
            <w:r>
              <w:rPr>
                <w:rFonts w:ascii="Arial" w:eastAsia="Times New Roman" w:hAnsi="Arial" w:cs="Arial"/>
              </w:rPr>
              <w:t>.</w:t>
            </w:r>
          </w:p>
          <w:p w:rsidR="000C783E" w:rsidRDefault="000C783E" w:rsidP="00A931CA">
            <w:pPr>
              <w:contextualSpacing/>
              <w:rPr>
                <w:rFonts w:ascii="Arial" w:eastAsia="Times New Roman" w:hAnsi="Arial" w:cs="Arial"/>
                <w:b/>
              </w:rPr>
            </w:pP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0C783E" w:rsidRDefault="000C783E" w:rsidP="00833F3B">
            <w:pPr>
              <w:ind w:left="360"/>
              <w:contextualSpacing/>
              <w:rPr>
                <w:rFonts w:ascii="Arial" w:eastAsia="Times New Roman" w:hAnsi="Arial" w:cs="Arial"/>
                <w:b/>
              </w:rPr>
            </w:pPr>
          </w:p>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C330AB">
              <w:rPr>
                <w:rFonts w:ascii="Arial" w:eastAsia="Times New Roman" w:hAnsi="Arial" w:cs="Arial"/>
                <w:b/>
              </w:rPr>
              <w:t xml:space="preserve">   January</w:t>
            </w:r>
            <w:r w:rsidR="0084435C">
              <w:rPr>
                <w:rFonts w:ascii="Arial" w:eastAsia="Times New Roman" w:hAnsi="Arial" w:cs="Arial"/>
                <w:b/>
              </w:rPr>
              <w:t xml:space="preserve"> </w:t>
            </w:r>
            <w:r>
              <w:rPr>
                <w:rFonts w:ascii="Arial" w:eastAsia="Times New Roman" w:hAnsi="Arial" w:cs="Arial"/>
                <w:b/>
              </w:rPr>
              <w:t xml:space="preserve">= </w:t>
            </w:r>
            <w:r w:rsidR="00C330AB">
              <w:rPr>
                <w:rFonts w:ascii="Arial" w:eastAsia="Times New Roman" w:hAnsi="Arial" w:cs="Arial"/>
                <w:b/>
              </w:rPr>
              <w:t>113</w:t>
            </w:r>
            <w:r>
              <w:rPr>
                <w:rFonts w:ascii="Arial" w:eastAsia="Times New Roman" w:hAnsi="Arial" w:cs="Arial"/>
                <w:b/>
              </w:rPr>
              <w:t xml:space="preserve"> responses; </w:t>
            </w:r>
            <w:r w:rsidR="00C330AB">
              <w:rPr>
                <w:rFonts w:ascii="Arial" w:eastAsia="Times New Roman" w:hAnsi="Arial" w:cs="Arial"/>
                <w:b/>
              </w:rPr>
              <w:t xml:space="preserve">76 </w:t>
            </w:r>
            <w:r>
              <w:rPr>
                <w:rFonts w:ascii="Arial" w:eastAsia="Times New Roman" w:hAnsi="Arial" w:cs="Arial"/>
                <w:b/>
              </w:rPr>
              <w:t xml:space="preserve">extremely likely; </w:t>
            </w:r>
            <w:r w:rsidR="00C330AB">
              <w:rPr>
                <w:rFonts w:ascii="Arial" w:eastAsia="Times New Roman" w:hAnsi="Arial" w:cs="Arial"/>
                <w:b/>
              </w:rPr>
              <w:t>29</w:t>
            </w:r>
            <w:r>
              <w:rPr>
                <w:rFonts w:ascii="Arial" w:eastAsia="Times New Roman" w:hAnsi="Arial" w:cs="Arial"/>
                <w:b/>
              </w:rPr>
              <w:t xml:space="preserve"> likely; </w:t>
            </w:r>
            <w:r w:rsidR="00C330AB">
              <w:rPr>
                <w:rFonts w:ascii="Arial" w:eastAsia="Times New Roman" w:hAnsi="Arial" w:cs="Arial"/>
                <w:b/>
              </w:rPr>
              <w:t>2</w:t>
            </w:r>
            <w:r>
              <w:rPr>
                <w:rFonts w:ascii="Arial" w:eastAsia="Times New Roman" w:hAnsi="Arial" w:cs="Arial"/>
                <w:b/>
              </w:rPr>
              <w:t xml:space="preserve"> neither likely or unlikely, </w:t>
            </w:r>
            <w:r w:rsidR="0084435C">
              <w:rPr>
                <w:rFonts w:ascii="Arial" w:eastAsia="Times New Roman" w:hAnsi="Arial" w:cs="Arial"/>
                <w:b/>
              </w:rPr>
              <w:t>3</w:t>
            </w:r>
            <w:r>
              <w:rPr>
                <w:rFonts w:ascii="Arial" w:eastAsia="Times New Roman" w:hAnsi="Arial" w:cs="Arial"/>
                <w:b/>
              </w:rPr>
              <w:t xml:space="preserve"> Unlikely,  </w:t>
            </w:r>
            <w:r w:rsidR="00C330AB">
              <w:rPr>
                <w:rFonts w:ascii="Arial" w:eastAsia="Times New Roman" w:hAnsi="Arial" w:cs="Arial"/>
                <w:b/>
              </w:rPr>
              <w:t>1</w:t>
            </w:r>
            <w:r>
              <w:rPr>
                <w:rFonts w:ascii="Arial" w:eastAsia="Times New Roman" w:hAnsi="Arial" w:cs="Arial"/>
                <w:b/>
              </w:rPr>
              <w:t xml:space="preserve"> extremely unlikely,  </w:t>
            </w:r>
            <w:r w:rsidR="00C330AB">
              <w:rPr>
                <w:rFonts w:ascii="Arial" w:eastAsia="Times New Roman" w:hAnsi="Arial" w:cs="Arial"/>
                <w:b/>
              </w:rPr>
              <w:t>2</w:t>
            </w:r>
            <w:r>
              <w:rPr>
                <w:rFonts w:ascii="Arial" w:eastAsia="Times New Roman" w:hAnsi="Arial" w:cs="Arial"/>
                <w:b/>
              </w:rPr>
              <w:t xml:space="preserve"> Don’t know</w:t>
            </w:r>
          </w:p>
          <w:p w:rsidR="000C783E" w:rsidRDefault="000C783E"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C330AB">
              <w:rPr>
                <w:rFonts w:ascii="Arial" w:eastAsia="Times New Roman" w:hAnsi="Arial" w:cs="Arial"/>
                <w:b/>
              </w:rPr>
              <w:t xml:space="preserve">February </w:t>
            </w:r>
            <w:r w:rsidRPr="00AF6DB4">
              <w:rPr>
                <w:rFonts w:ascii="Arial" w:eastAsia="Times New Roman" w:hAnsi="Arial" w:cs="Arial"/>
                <w:b/>
              </w:rPr>
              <w:t xml:space="preserve"> = </w:t>
            </w:r>
            <w:r w:rsidR="00C330AB">
              <w:rPr>
                <w:rFonts w:ascii="Arial" w:eastAsia="Times New Roman" w:hAnsi="Arial" w:cs="Arial"/>
                <w:b/>
              </w:rPr>
              <w:t>70</w:t>
            </w:r>
            <w:r w:rsidRPr="00AF6DB4">
              <w:rPr>
                <w:rFonts w:ascii="Arial" w:eastAsia="Times New Roman" w:hAnsi="Arial" w:cs="Arial"/>
                <w:b/>
              </w:rPr>
              <w:t xml:space="preserve"> responses; </w:t>
            </w:r>
            <w:r w:rsidR="0084435C">
              <w:rPr>
                <w:rFonts w:ascii="Arial" w:eastAsia="Times New Roman" w:hAnsi="Arial" w:cs="Arial"/>
                <w:b/>
              </w:rPr>
              <w:t>4</w:t>
            </w:r>
            <w:r w:rsidR="00C330AB">
              <w:rPr>
                <w:rFonts w:ascii="Arial" w:eastAsia="Times New Roman" w:hAnsi="Arial" w:cs="Arial"/>
                <w:b/>
              </w:rPr>
              <w:t>7</w:t>
            </w:r>
            <w:r>
              <w:rPr>
                <w:rFonts w:ascii="Arial" w:eastAsia="Times New Roman" w:hAnsi="Arial" w:cs="Arial"/>
                <w:b/>
              </w:rPr>
              <w:t xml:space="preserve"> </w:t>
            </w:r>
            <w:r w:rsidRPr="00AF6DB4">
              <w:rPr>
                <w:rFonts w:ascii="Arial" w:eastAsia="Times New Roman" w:hAnsi="Arial" w:cs="Arial"/>
                <w:b/>
              </w:rPr>
              <w:t>extremely likely;</w:t>
            </w:r>
            <w:r>
              <w:rPr>
                <w:rFonts w:ascii="Arial" w:eastAsia="Times New Roman" w:hAnsi="Arial" w:cs="Arial"/>
                <w:b/>
              </w:rPr>
              <w:t xml:space="preserve"> </w:t>
            </w:r>
            <w:r w:rsidR="00C330AB">
              <w:rPr>
                <w:rFonts w:ascii="Arial" w:eastAsia="Times New Roman" w:hAnsi="Arial" w:cs="Arial"/>
                <w:b/>
              </w:rPr>
              <w:t>14</w:t>
            </w:r>
            <w:r w:rsidRPr="00AF6DB4">
              <w:rPr>
                <w:rFonts w:ascii="Arial" w:eastAsia="Times New Roman" w:hAnsi="Arial" w:cs="Arial"/>
                <w:b/>
              </w:rPr>
              <w:t xml:space="preserve"> likely;  </w:t>
            </w:r>
            <w:r w:rsidR="00C330AB">
              <w:rPr>
                <w:rFonts w:ascii="Arial" w:eastAsia="Times New Roman" w:hAnsi="Arial" w:cs="Arial"/>
                <w:b/>
              </w:rPr>
              <w:t>3</w:t>
            </w:r>
            <w:r>
              <w:rPr>
                <w:rFonts w:ascii="Arial" w:eastAsia="Times New Roman" w:hAnsi="Arial" w:cs="Arial"/>
                <w:b/>
              </w:rPr>
              <w:t xml:space="preserve"> </w:t>
            </w:r>
            <w:r w:rsidRPr="00AF6DB4">
              <w:rPr>
                <w:rFonts w:ascii="Arial" w:eastAsia="Times New Roman" w:hAnsi="Arial" w:cs="Arial"/>
                <w:b/>
              </w:rPr>
              <w:t xml:space="preserve">neither likely or </w:t>
            </w:r>
            <w:r>
              <w:rPr>
                <w:rFonts w:ascii="Arial" w:eastAsia="Times New Roman" w:hAnsi="Arial" w:cs="Arial"/>
                <w:b/>
              </w:rPr>
              <w:t xml:space="preserve"> </w:t>
            </w:r>
            <w:r w:rsidRPr="00AF6DB4">
              <w:rPr>
                <w:rFonts w:ascii="Arial" w:eastAsia="Times New Roman" w:hAnsi="Arial" w:cs="Arial"/>
                <w:b/>
              </w:rPr>
              <w:t>unlikely,</w:t>
            </w:r>
            <w:r>
              <w:rPr>
                <w:rFonts w:ascii="Arial" w:eastAsia="Times New Roman" w:hAnsi="Arial" w:cs="Arial"/>
                <w:b/>
              </w:rPr>
              <w:t xml:space="preserve"> </w:t>
            </w:r>
            <w:r w:rsidR="00C330AB">
              <w:rPr>
                <w:rFonts w:ascii="Arial" w:eastAsia="Times New Roman" w:hAnsi="Arial" w:cs="Arial"/>
                <w:b/>
              </w:rPr>
              <w:t>0</w:t>
            </w:r>
            <w:r>
              <w:rPr>
                <w:rFonts w:ascii="Arial" w:eastAsia="Times New Roman" w:hAnsi="Arial" w:cs="Arial"/>
                <w:b/>
              </w:rPr>
              <w:t xml:space="preserve"> </w:t>
            </w:r>
            <w:r w:rsidRPr="00AF6DB4">
              <w:rPr>
                <w:rFonts w:ascii="Arial" w:eastAsia="Times New Roman" w:hAnsi="Arial" w:cs="Arial"/>
                <w:b/>
              </w:rPr>
              <w:t>extremely unlikely,</w:t>
            </w:r>
            <w:r>
              <w:rPr>
                <w:rFonts w:ascii="Arial" w:eastAsia="Times New Roman" w:hAnsi="Arial" w:cs="Arial"/>
                <w:b/>
              </w:rPr>
              <w:t xml:space="preserve"> </w:t>
            </w:r>
            <w:r w:rsidR="0084435C">
              <w:rPr>
                <w:rFonts w:ascii="Arial" w:eastAsia="Times New Roman" w:hAnsi="Arial" w:cs="Arial"/>
                <w:b/>
              </w:rPr>
              <w:t>5</w:t>
            </w:r>
            <w:r w:rsidRPr="00AF6DB4">
              <w:rPr>
                <w:rFonts w:ascii="Arial" w:eastAsia="Times New Roman" w:hAnsi="Arial" w:cs="Arial"/>
                <w:b/>
              </w:rPr>
              <w:t xml:space="preserve"> Unlikely, </w:t>
            </w:r>
            <w:r w:rsidR="00C330AB">
              <w:rPr>
                <w:rFonts w:ascii="Arial" w:eastAsia="Times New Roman" w:hAnsi="Arial" w:cs="Arial"/>
                <w:b/>
              </w:rPr>
              <w:t>1</w:t>
            </w:r>
            <w:r>
              <w:rPr>
                <w:rFonts w:ascii="Arial" w:eastAsia="Times New Roman" w:hAnsi="Arial" w:cs="Arial"/>
                <w:b/>
              </w:rPr>
              <w:t xml:space="preserve"> </w:t>
            </w:r>
            <w:r w:rsidRPr="00AF6DB4">
              <w:rPr>
                <w:rFonts w:ascii="Arial" w:eastAsia="Times New Roman" w:hAnsi="Arial" w:cs="Arial"/>
                <w:b/>
              </w:rPr>
              <w:t>don’t know</w:t>
            </w:r>
          </w:p>
          <w:p w:rsidR="000C783E" w:rsidRPr="007003A5" w:rsidRDefault="000C783E" w:rsidP="0084435C">
            <w:pPr>
              <w:ind w:left="360"/>
              <w:contextualSpacing/>
              <w:rPr>
                <w:rFonts w:ascii="Arial" w:eastAsia="Times New Roman" w:hAnsi="Arial" w:cs="Arial"/>
                <w:b/>
              </w:rPr>
            </w:pPr>
          </w:p>
        </w:tc>
      </w:tr>
    </w:tbl>
    <w:p w:rsidR="00222641" w:rsidRDefault="007003A5" w:rsidP="007003A5">
      <w:r>
        <w:rPr>
          <w:rFonts w:ascii="Arial" w:eastAsia="Times New Roman" w:hAnsi="Arial" w:cs="Arial"/>
          <w:b/>
        </w:rPr>
        <w:t xml:space="preserve">     </w:t>
      </w:r>
    </w:p>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982BBD">
        <w:rPr>
          <w:rFonts w:ascii="Times New Roman" w:eastAsia="Times New Roman" w:hAnsi="Times New Roman" w:cs="Times New Roman"/>
          <w:b/>
          <w:sz w:val="24"/>
          <w:szCs w:val="24"/>
        </w:rPr>
        <w:t>Date of next meeting</w:t>
      </w:r>
      <w:proofErr w:type="gramStart"/>
      <w:r w:rsidR="00982BBD">
        <w:rPr>
          <w:rFonts w:ascii="Times New Roman" w:eastAsia="Times New Roman" w:hAnsi="Times New Roman" w:cs="Times New Roman"/>
          <w:b/>
          <w:sz w:val="24"/>
          <w:szCs w:val="24"/>
        </w:rPr>
        <w:t>:–</w:t>
      </w:r>
      <w:proofErr w:type="gramEnd"/>
      <w:r w:rsidR="00982BBD">
        <w:rPr>
          <w:rFonts w:ascii="Times New Roman" w:eastAsia="Times New Roman" w:hAnsi="Times New Roman" w:cs="Times New Roman"/>
          <w:b/>
          <w:sz w:val="24"/>
          <w:szCs w:val="24"/>
        </w:rPr>
        <w:t xml:space="preserve"> </w:t>
      </w:r>
      <w:r w:rsidR="00B20B2A">
        <w:rPr>
          <w:rFonts w:ascii="Times New Roman" w:eastAsia="Times New Roman" w:hAnsi="Times New Roman" w:cs="Times New Roman"/>
          <w:b/>
          <w:sz w:val="24"/>
          <w:szCs w:val="24"/>
        </w:rPr>
        <w:t xml:space="preserve">Monday </w:t>
      </w:r>
      <w:r w:rsidR="000C3167">
        <w:rPr>
          <w:rFonts w:ascii="Times New Roman" w:eastAsia="Times New Roman" w:hAnsi="Times New Roman" w:cs="Times New Roman"/>
          <w:b/>
          <w:sz w:val="24"/>
          <w:szCs w:val="24"/>
        </w:rPr>
        <w:t>3</w:t>
      </w:r>
      <w:r w:rsidR="000C3167" w:rsidRPr="000C3167">
        <w:rPr>
          <w:rFonts w:ascii="Times New Roman" w:eastAsia="Times New Roman" w:hAnsi="Times New Roman" w:cs="Times New Roman"/>
          <w:b/>
          <w:sz w:val="24"/>
          <w:szCs w:val="24"/>
          <w:vertAlign w:val="superscript"/>
        </w:rPr>
        <w:t>rd</w:t>
      </w:r>
      <w:r w:rsidR="000C3167">
        <w:rPr>
          <w:rFonts w:ascii="Times New Roman" w:eastAsia="Times New Roman" w:hAnsi="Times New Roman" w:cs="Times New Roman"/>
          <w:b/>
          <w:sz w:val="24"/>
          <w:szCs w:val="24"/>
        </w:rPr>
        <w:t xml:space="preserve"> June</w:t>
      </w:r>
      <w:r w:rsidR="00F972EB">
        <w:rPr>
          <w:rFonts w:ascii="Times New Roman" w:eastAsia="Times New Roman" w:hAnsi="Times New Roman" w:cs="Times New Roman"/>
          <w:b/>
          <w:sz w:val="24"/>
          <w:szCs w:val="24"/>
        </w:rPr>
        <w:t xml:space="preserve"> 2019</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0C068F9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7F5B57"/>
    <w:multiLevelType w:val="hybridMultilevel"/>
    <w:tmpl w:val="E384C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892FB7"/>
    <w:multiLevelType w:val="hybridMultilevel"/>
    <w:tmpl w:val="99A2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3"/>
  </w:num>
  <w:num w:numId="6">
    <w:abstractNumId w:val="6"/>
  </w:num>
  <w:num w:numId="7">
    <w:abstractNumId w:val="0"/>
  </w:num>
  <w:num w:numId="8">
    <w:abstractNumId w:val="7"/>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728E9"/>
    <w:rsid w:val="000B7D67"/>
    <w:rsid w:val="000C3167"/>
    <w:rsid w:val="000C783E"/>
    <w:rsid w:val="000F0234"/>
    <w:rsid w:val="0014703E"/>
    <w:rsid w:val="00167062"/>
    <w:rsid w:val="001E1E6A"/>
    <w:rsid w:val="00222641"/>
    <w:rsid w:val="002A4663"/>
    <w:rsid w:val="0037483D"/>
    <w:rsid w:val="003A4483"/>
    <w:rsid w:val="003B04EB"/>
    <w:rsid w:val="003E0BB3"/>
    <w:rsid w:val="003F20AB"/>
    <w:rsid w:val="0048149B"/>
    <w:rsid w:val="004C212D"/>
    <w:rsid w:val="004C29B7"/>
    <w:rsid w:val="004C2A25"/>
    <w:rsid w:val="00523482"/>
    <w:rsid w:val="0052746D"/>
    <w:rsid w:val="005850F0"/>
    <w:rsid w:val="0059721D"/>
    <w:rsid w:val="005C0FA2"/>
    <w:rsid w:val="00610FCD"/>
    <w:rsid w:val="00666A1E"/>
    <w:rsid w:val="007003A5"/>
    <w:rsid w:val="007A078B"/>
    <w:rsid w:val="007A31F9"/>
    <w:rsid w:val="007B403D"/>
    <w:rsid w:val="007F5A8E"/>
    <w:rsid w:val="00804497"/>
    <w:rsid w:val="00833F3B"/>
    <w:rsid w:val="0084435C"/>
    <w:rsid w:val="008561FB"/>
    <w:rsid w:val="009118F9"/>
    <w:rsid w:val="00916FDF"/>
    <w:rsid w:val="00982BBD"/>
    <w:rsid w:val="009C6724"/>
    <w:rsid w:val="00AA5DFD"/>
    <w:rsid w:val="00B20B2A"/>
    <w:rsid w:val="00B268C6"/>
    <w:rsid w:val="00B312E2"/>
    <w:rsid w:val="00B361D3"/>
    <w:rsid w:val="00C02FFC"/>
    <w:rsid w:val="00C330AB"/>
    <w:rsid w:val="00CA18F7"/>
    <w:rsid w:val="00CE308E"/>
    <w:rsid w:val="00D13AFD"/>
    <w:rsid w:val="00D75B1A"/>
    <w:rsid w:val="00DA4167"/>
    <w:rsid w:val="00DA54D3"/>
    <w:rsid w:val="00DF733B"/>
    <w:rsid w:val="00E00C9C"/>
    <w:rsid w:val="00E061C6"/>
    <w:rsid w:val="00E26D90"/>
    <w:rsid w:val="00E32370"/>
    <w:rsid w:val="00F23373"/>
    <w:rsid w:val="00F94C40"/>
    <w:rsid w:val="00F972EB"/>
    <w:rsid w:val="00FA5BD5"/>
    <w:rsid w:val="00FD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4DC7-8E2F-433F-9BD3-80819F52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Gill Wright</cp:lastModifiedBy>
  <cp:revision>6</cp:revision>
  <cp:lastPrinted>2018-03-05T12:27:00Z</cp:lastPrinted>
  <dcterms:created xsi:type="dcterms:W3CDTF">2019-03-11T14:32:00Z</dcterms:created>
  <dcterms:modified xsi:type="dcterms:W3CDTF">2019-06-14T12:12:00Z</dcterms:modified>
</cp:coreProperties>
</file>